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62" w:rsidRPr="00630C62" w:rsidRDefault="00630C62" w:rsidP="00630C62">
      <w:pPr>
        <w:pStyle w:val="a3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245"/>
        <w:tblW w:w="0" w:type="auto"/>
        <w:tblLook w:val="00A0"/>
      </w:tblPr>
      <w:tblGrid>
        <w:gridCol w:w="9571"/>
      </w:tblGrid>
      <w:tr w:rsidR="00630C62" w:rsidRPr="00630C62" w:rsidTr="004F23F4">
        <w:tc>
          <w:tcPr>
            <w:tcW w:w="9571" w:type="dxa"/>
          </w:tcPr>
          <w:p w:rsidR="00630C62" w:rsidRPr="00630C62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0C6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37540" cy="803275"/>
                  <wp:effectExtent l="19050" t="0" r="0" b="0"/>
                  <wp:docPr id="22" name="Рисунок 1" descr="C:\Documents and Settings\User\Рабочий стол\герб_ Брянский_район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герб_ Брянский_район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C62" w:rsidRPr="00630C62" w:rsidTr="004F23F4">
        <w:tc>
          <w:tcPr>
            <w:tcW w:w="9571" w:type="dxa"/>
            <w:tcBorders>
              <w:bottom w:val="single" w:sz="12" w:space="0" w:color="000000"/>
            </w:tcBorders>
          </w:tcPr>
          <w:p w:rsidR="00630C62" w:rsidRPr="00630C62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C62">
              <w:rPr>
                <w:rFonts w:ascii="Times New Roman" w:hAnsi="Times New Roman" w:cs="Times New Roman"/>
                <w:sz w:val="32"/>
                <w:szCs w:val="32"/>
              </w:rPr>
              <w:t>Российская Федерация</w:t>
            </w:r>
          </w:p>
          <w:p w:rsidR="00630C62" w:rsidRPr="00630C62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0C62">
              <w:rPr>
                <w:rFonts w:ascii="Times New Roman" w:hAnsi="Times New Roman" w:cs="Times New Roman"/>
                <w:b/>
                <w:sz w:val="32"/>
                <w:szCs w:val="32"/>
              </w:rPr>
              <w:t>БРЯНСКИЙ РАЙОННЫЙ СОВЕТ НАРОДНЫХ ДЕПУТАТОВ</w:t>
            </w:r>
          </w:p>
        </w:tc>
      </w:tr>
      <w:tr w:rsidR="00630C62" w:rsidRPr="00630C62" w:rsidTr="004F23F4">
        <w:tc>
          <w:tcPr>
            <w:tcW w:w="9571" w:type="dxa"/>
            <w:tcBorders>
              <w:top w:val="single" w:sz="12" w:space="0" w:color="000000"/>
            </w:tcBorders>
          </w:tcPr>
          <w:p w:rsidR="00630C62" w:rsidRPr="00630C62" w:rsidRDefault="00630C62" w:rsidP="00630C6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0C62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</w:tbl>
    <w:p w:rsidR="00630C62" w:rsidRPr="00630C62" w:rsidRDefault="00630C62" w:rsidP="00630C62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0A0"/>
      </w:tblPr>
      <w:tblGrid>
        <w:gridCol w:w="441"/>
        <w:gridCol w:w="596"/>
        <w:gridCol w:w="283"/>
        <w:gridCol w:w="1638"/>
        <w:gridCol w:w="696"/>
        <w:gridCol w:w="445"/>
        <w:gridCol w:w="1538"/>
      </w:tblGrid>
      <w:tr w:rsidR="00630C62" w:rsidRPr="00630C62" w:rsidTr="00471FF8">
        <w:tc>
          <w:tcPr>
            <w:tcW w:w="441" w:type="dxa"/>
          </w:tcPr>
          <w:p w:rsidR="00630C62" w:rsidRPr="00AE54FC" w:rsidRDefault="00630C62" w:rsidP="00630C62">
            <w:pPr>
              <w:pStyle w:val="a3"/>
              <w:rPr>
                <w:rFonts w:ascii="Times New Roman" w:hAnsi="Times New Roman" w:cs="Times New Roman"/>
              </w:rPr>
            </w:pPr>
            <w:r w:rsidRPr="00AE54FC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596" w:type="dxa"/>
            <w:tcBorders>
              <w:bottom w:val="dotted" w:sz="4" w:space="0" w:color="auto"/>
            </w:tcBorders>
          </w:tcPr>
          <w:p w:rsidR="00630C62" w:rsidRPr="00471FF8" w:rsidRDefault="00471FF8" w:rsidP="00630C62">
            <w:pPr>
              <w:pStyle w:val="a3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 w:rsidRPr="00471FF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28</w:t>
            </w:r>
          </w:p>
        </w:tc>
        <w:tc>
          <w:tcPr>
            <w:tcW w:w="283" w:type="dxa"/>
          </w:tcPr>
          <w:p w:rsidR="00630C62" w:rsidRPr="00471FF8" w:rsidRDefault="00630C62" w:rsidP="0063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dotted" w:sz="4" w:space="0" w:color="auto"/>
            </w:tcBorders>
          </w:tcPr>
          <w:p w:rsidR="00630C62" w:rsidRPr="00471FF8" w:rsidRDefault="00630C62" w:rsidP="002D28B0">
            <w:pPr>
              <w:pStyle w:val="a3"/>
              <w:rPr>
                <w:rFonts w:ascii="Times New Roman" w:hAnsi="Times New Roman" w:cs="Times New Roman"/>
                <w:spacing w:val="70"/>
                <w:sz w:val="24"/>
                <w:szCs w:val="24"/>
              </w:rPr>
            </w:pPr>
            <w:r w:rsidRPr="00471FF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471FF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>и</w:t>
            </w:r>
            <w:r w:rsidR="00471FF8" w:rsidRPr="00471FF8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юня </w:t>
            </w:r>
          </w:p>
        </w:tc>
        <w:tc>
          <w:tcPr>
            <w:tcW w:w="696" w:type="dxa"/>
          </w:tcPr>
          <w:p w:rsidR="00630C62" w:rsidRPr="00471FF8" w:rsidRDefault="00471FF8" w:rsidP="00630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F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5" w:type="dxa"/>
          </w:tcPr>
          <w:p w:rsidR="00630C62" w:rsidRPr="00AE54FC" w:rsidRDefault="00630C62" w:rsidP="00630C62">
            <w:pPr>
              <w:pStyle w:val="a3"/>
              <w:rPr>
                <w:rFonts w:ascii="Times New Roman" w:hAnsi="Times New Roman" w:cs="Times New Roman"/>
              </w:rPr>
            </w:pPr>
            <w:r w:rsidRPr="00AE54F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8" w:type="dxa"/>
            <w:tcBorders>
              <w:bottom w:val="dotted" w:sz="4" w:space="0" w:color="auto"/>
            </w:tcBorders>
          </w:tcPr>
          <w:p w:rsidR="00630C62" w:rsidRPr="00592DA5" w:rsidRDefault="00471FF8" w:rsidP="00630C62">
            <w:pPr>
              <w:pStyle w:val="a3"/>
              <w:rPr>
                <w:rFonts w:ascii="Times New Roman" w:hAnsi="Times New Roman" w:cs="Times New Roman"/>
                <w:spacing w:val="70"/>
              </w:rPr>
            </w:pPr>
            <w:r>
              <w:rPr>
                <w:rFonts w:ascii="Times New Roman" w:hAnsi="Times New Roman" w:cs="Times New Roman"/>
                <w:spacing w:val="70"/>
              </w:rPr>
              <w:t>6-40-14</w:t>
            </w:r>
          </w:p>
        </w:tc>
      </w:tr>
      <w:tr w:rsidR="00630C62" w:rsidRPr="00630C62" w:rsidTr="00471FF8">
        <w:tc>
          <w:tcPr>
            <w:tcW w:w="5637" w:type="dxa"/>
            <w:gridSpan w:val="7"/>
          </w:tcPr>
          <w:p w:rsidR="00630C62" w:rsidRPr="00630C62" w:rsidRDefault="00630C62" w:rsidP="00AE54F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30C62">
              <w:rPr>
                <w:rFonts w:ascii="Times New Roman" w:hAnsi="Times New Roman" w:cs="Times New Roman"/>
              </w:rPr>
              <w:t>с.Глинищево</w:t>
            </w:r>
          </w:p>
        </w:tc>
      </w:tr>
    </w:tbl>
    <w:p w:rsidR="00630C62" w:rsidRPr="00630C62" w:rsidRDefault="00630C62" w:rsidP="00630C62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5211"/>
      </w:tblGrid>
      <w:tr w:rsidR="00630C62" w:rsidRPr="004F05D5" w:rsidTr="004F05D5">
        <w:tc>
          <w:tcPr>
            <w:tcW w:w="5211" w:type="dxa"/>
          </w:tcPr>
          <w:p w:rsidR="002D28B0" w:rsidRPr="004F05D5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5D5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AB29F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F05D5">
              <w:rPr>
                <w:rFonts w:ascii="Times New Roman" w:hAnsi="Times New Roman" w:cs="Times New Roman"/>
                <w:sz w:val="26"/>
                <w:szCs w:val="26"/>
              </w:rPr>
              <w:t xml:space="preserve">орядка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</w:t>
            </w:r>
            <w:r w:rsidR="002D28B0" w:rsidRPr="004F05D5">
              <w:rPr>
                <w:rFonts w:ascii="Times New Roman" w:hAnsi="Times New Roman" w:cs="Times New Roman"/>
                <w:sz w:val="26"/>
                <w:szCs w:val="26"/>
              </w:rPr>
              <w:t xml:space="preserve">права хозяйственного ведения, права оперативного управления, а также </w:t>
            </w:r>
            <w:r w:rsidRPr="004F05D5">
              <w:rPr>
                <w:rFonts w:ascii="Times New Roman" w:hAnsi="Times New Roman" w:cs="Times New Roman"/>
                <w:sz w:val="26"/>
                <w:szCs w:val="26"/>
              </w:rPr>
              <w:t>имущественных прав субъектов малого и среднего предпринимательства)</w:t>
            </w:r>
          </w:p>
          <w:p w:rsidR="00630C62" w:rsidRPr="004F05D5" w:rsidRDefault="00630C62" w:rsidP="00630C6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0C62" w:rsidRPr="004F05D5" w:rsidRDefault="00630C62" w:rsidP="00630C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C62" w:rsidRPr="004F05D5" w:rsidRDefault="00630C62" w:rsidP="00AE54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5D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4F05D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F05D5">
        <w:rPr>
          <w:rFonts w:ascii="Times New Roman" w:hAnsi="Times New Roman" w:cs="Times New Roman"/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Федерации», Уставом Брянского муниципального района, Брянский районный Совет народных депутатов</w:t>
      </w:r>
    </w:p>
    <w:p w:rsidR="00630C62" w:rsidRPr="004F05D5" w:rsidRDefault="00630C62" w:rsidP="00630C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C62" w:rsidRPr="004F05D5" w:rsidRDefault="00630C62" w:rsidP="00630C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F05D5">
        <w:rPr>
          <w:rFonts w:ascii="Times New Roman" w:hAnsi="Times New Roman" w:cs="Times New Roman"/>
          <w:sz w:val="26"/>
          <w:szCs w:val="26"/>
        </w:rPr>
        <w:t>РЕШИЛ:</w:t>
      </w:r>
    </w:p>
    <w:p w:rsidR="00630C62" w:rsidRPr="004F05D5" w:rsidRDefault="00630C62" w:rsidP="00630C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0C62" w:rsidRPr="006A0B66" w:rsidRDefault="00630C62" w:rsidP="004F05D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B66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6" w:history="1">
        <w:r w:rsidRPr="006A0B66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</w:rPr>
          <w:t>Порядок</w:t>
        </w:r>
      </w:hyperlink>
      <w:r w:rsidRPr="006A0B66">
        <w:rPr>
          <w:rFonts w:ascii="Times New Roman" w:hAnsi="Times New Roman" w:cs="Times New Roman"/>
          <w:sz w:val="26"/>
          <w:szCs w:val="26"/>
        </w:rPr>
        <w:t xml:space="preserve"> </w:t>
      </w:r>
      <w:r w:rsidR="002D28B0" w:rsidRPr="006A0B66">
        <w:rPr>
          <w:rFonts w:ascii="Times New Roman" w:hAnsi="Times New Roman" w:cs="Times New Roman"/>
          <w:sz w:val="26"/>
          <w:szCs w:val="26"/>
        </w:rPr>
        <w:t>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A0B66">
        <w:rPr>
          <w:rFonts w:ascii="Times New Roman" w:hAnsi="Times New Roman" w:cs="Times New Roman"/>
          <w:sz w:val="26"/>
          <w:szCs w:val="26"/>
        </w:rPr>
        <w:t>.</w:t>
      </w:r>
    </w:p>
    <w:p w:rsidR="002D28B0" w:rsidRPr="004F05D5" w:rsidRDefault="00AB29F7" w:rsidP="004F05D5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28B0" w:rsidRPr="004F05D5">
        <w:rPr>
          <w:sz w:val="26"/>
          <w:szCs w:val="26"/>
        </w:rPr>
        <w:t>. Признать утратившими силу решения Брянского районного Совета народных депутатов:</w:t>
      </w:r>
    </w:p>
    <w:p w:rsidR="002D28B0" w:rsidRPr="004F05D5" w:rsidRDefault="002D28B0" w:rsidP="002D28B0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 w:rsidRPr="004F05D5">
        <w:rPr>
          <w:sz w:val="26"/>
          <w:szCs w:val="26"/>
        </w:rPr>
        <w:t>- от 25.10.2017 № 5-43-2 «Об утверждении порядка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AB29F7">
        <w:rPr>
          <w:sz w:val="26"/>
          <w:szCs w:val="26"/>
        </w:rPr>
        <w:t>;</w:t>
      </w:r>
      <w:proofErr w:type="gramEnd"/>
    </w:p>
    <w:p w:rsidR="002D28B0" w:rsidRPr="004F05D5" w:rsidRDefault="002D28B0" w:rsidP="002D28B0">
      <w:pPr>
        <w:pStyle w:val="ConsPlusNormal"/>
        <w:widowControl/>
        <w:ind w:firstLine="540"/>
        <w:jc w:val="both"/>
        <w:rPr>
          <w:sz w:val="26"/>
          <w:szCs w:val="26"/>
        </w:rPr>
      </w:pPr>
      <w:proofErr w:type="gramStart"/>
      <w:r w:rsidRPr="004F05D5">
        <w:rPr>
          <w:sz w:val="26"/>
          <w:szCs w:val="26"/>
        </w:rPr>
        <w:t xml:space="preserve">- от 28.04.2021 № 6-29-2 «О внесении изменений в решение Брянского районного Совета народных депутатов от 25.10.2017г. № 5-43-2 «Об утверждении порядка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</w:t>
      </w:r>
      <w:r w:rsidRPr="004F05D5">
        <w:rPr>
          <w:sz w:val="26"/>
          <w:szCs w:val="26"/>
        </w:rPr>
        <w:lastRenderedPageBreak/>
        <w:t>пользование на долгосрочной основе субъектам малого и среднего</w:t>
      </w:r>
      <w:proofErr w:type="gramEnd"/>
      <w:r w:rsidRPr="004F05D5">
        <w:rPr>
          <w:sz w:val="26"/>
          <w:szCs w:val="26"/>
        </w:rPr>
        <w:t xml:space="preserve"> предпринимательства, а также организациям, образующим инфраструктуру поддержки субъектов малого и среднего предпринимательства»</w:t>
      </w:r>
      <w:r w:rsidR="00AB29F7">
        <w:rPr>
          <w:sz w:val="26"/>
          <w:szCs w:val="26"/>
        </w:rPr>
        <w:t>.</w:t>
      </w:r>
    </w:p>
    <w:p w:rsidR="004F05D5" w:rsidRPr="004F05D5" w:rsidRDefault="00AB29F7" w:rsidP="004F05D5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05D5" w:rsidRPr="004F05D5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</w:t>
      </w:r>
      <w:proofErr w:type="spellStart"/>
      <w:proofErr w:type="gramStart"/>
      <w:r w:rsidR="004F05D5" w:rsidRPr="004F05D5">
        <w:rPr>
          <w:rFonts w:ascii="Times New Roman" w:hAnsi="Times New Roman" w:cs="Times New Roman"/>
          <w:sz w:val="26"/>
          <w:szCs w:val="26"/>
        </w:rPr>
        <w:t>Деснянская</w:t>
      </w:r>
      <w:proofErr w:type="spellEnd"/>
      <w:proofErr w:type="gramEnd"/>
      <w:r w:rsidR="004F05D5" w:rsidRPr="004F05D5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4F05D5" w:rsidRPr="004F05D5" w:rsidRDefault="00AB29F7" w:rsidP="004F05D5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F05D5" w:rsidRPr="004F05D5">
        <w:rPr>
          <w:rFonts w:ascii="Times New Roman" w:hAnsi="Times New Roman" w:cs="Times New Roman"/>
          <w:sz w:val="26"/>
          <w:szCs w:val="26"/>
        </w:rPr>
        <w:t>. Решение вступает в силу со дня его опубликования.</w:t>
      </w:r>
    </w:p>
    <w:p w:rsidR="004F05D5" w:rsidRPr="004F05D5" w:rsidRDefault="00AB29F7" w:rsidP="004F05D5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05D5" w:rsidRPr="004F05D5">
        <w:rPr>
          <w:rFonts w:ascii="Times New Roman" w:hAnsi="Times New Roman" w:cs="Times New Roman"/>
          <w:sz w:val="26"/>
          <w:szCs w:val="26"/>
        </w:rPr>
        <w:t xml:space="preserve">. Контроль по исполнению настоящего решения возложить на комитет по законности и вопросам правопорядка (А.А. Пронин). </w:t>
      </w:r>
    </w:p>
    <w:p w:rsidR="00630C62" w:rsidRPr="004F05D5" w:rsidRDefault="00630C62" w:rsidP="00630C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0C62" w:rsidRPr="004F05D5" w:rsidRDefault="00630C62" w:rsidP="00630C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0C62" w:rsidRPr="004F05D5" w:rsidRDefault="00630C62" w:rsidP="00630C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30C62" w:rsidRPr="004F05D5" w:rsidRDefault="00630C62" w:rsidP="00630C62">
      <w:pPr>
        <w:pStyle w:val="a3"/>
        <w:rPr>
          <w:rFonts w:ascii="Times New Roman" w:hAnsi="Times New Roman" w:cs="Times New Roman"/>
          <w:sz w:val="26"/>
          <w:szCs w:val="26"/>
        </w:rPr>
      </w:pPr>
      <w:r w:rsidRPr="004F05D5">
        <w:rPr>
          <w:rFonts w:ascii="Times New Roman" w:hAnsi="Times New Roman" w:cs="Times New Roman"/>
          <w:sz w:val="26"/>
          <w:szCs w:val="26"/>
        </w:rPr>
        <w:t xml:space="preserve">Глава Брянского </w:t>
      </w:r>
      <w:r w:rsidRPr="004F05D5">
        <w:rPr>
          <w:rFonts w:ascii="Times New Roman" w:hAnsi="Times New Roman" w:cs="Times New Roman"/>
          <w:sz w:val="26"/>
          <w:szCs w:val="26"/>
        </w:rPr>
        <w:br/>
        <w:t>муниципального района</w:t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Pr="004F05D5">
        <w:rPr>
          <w:rFonts w:ascii="Times New Roman" w:hAnsi="Times New Roman" w:cs="Times New Roman"/>
          <w:sz w:val="26"/>
          <w:szCs w:val="26"/>
        </w:rPr>
        <w:tab/>
      </w:r>
      <w:r w:rsidR="004F05D5">
        <w:rPr>
          <w:rFonts w:ascii="Times New Roman" w:hAnsi="Times New Roman" w:cs="Times New Roman"/>
          <w:sz w:val="26"/>
          <w:szCs w:val="26"/>
        </w:rPr>
        <w:tab/>
        <w:t xml:space="preserve">Д.Л. </w:t>
      </w:r>
      <w:proofErr w:type="spellStart"/>
      <w:r w:rsidR="004F05D5">
        <w:rPr>
          <w:rFonts w:ascii="Times New Roman" w:hAnsi="Times New Roman" w:cs="Times New Roman"/>
          <w:sz w:val="26"/>
          <w:szCs w:val="26"/>
        </w:rPr>
        <w:t>Евич</w:t>
      </w:r>
      <w:proofErr w:type="spellEnd"/>
    </w:p>
    <w:p w:rsidR="00630C62" w:rsidRPr="00630C62" w:rsidRDefault="00630C62" w:rsidP="00630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C6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6062" w:type="dxa"/>
        <w:tblLook w:val="04A0"/>
      </w:tblPr>
      <w:tblGrid>
        <w:gridCol w:w="3935"/>
      </w:tblGrid>
      <w:tr w:rsidR="00630C62" w:rsidRPr="00630C62" w:rsidTr="004F23F4">
        <w:tc>
          <w:tcPr>
            <w:tcW w:w="3935" w:type="dxa"/>
          </w:tcPr>
          <w:p w:rsidR="00630C62" w:rsidRPr="00630C62" w:rsidRDefault="00630C62" w:rsidP="00471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0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  <w:r w:rsidRPr="00630C62">
              <w:rPr>
                <w:rFonts w:ascii="Times New Roman" w:hAnsi="Times New Roman" w:cs="Times New Roman"/>
                <w:sz w:val="24"/>
                <w:szCs w:val="24"/>
              </w:rPr>
              <w:br/>
              <w:t>Брянского районного Совета</w:t>
            </w:r>
            <w:r w:rsidRPr="00630C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народных депутатов </w:t>
            </w:r>
            <w:r w:rsidRPr="00630C62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r w:rsidR="00592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71FF8" w:rsidRPr="0047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28.06.2022</w:t>
            </w:r>
            <w:r w:rsidR="004F05D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0C6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F05D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71FF8" w:rsidRPr="00471F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6-40-14</w:t>
            </w:r>
            <w:r w:rsidR="004F05D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630C62" w:rsidRPr="00630C62" w:rsidRDefault="00630C62" w:rsidP="00630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2" w:rsidRDefault="00630C62" w:rsidP="00630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B66" w:rsidRPr="00630C62" w:rsidRDefault="006A0B66" w:rsidP="00630C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C62" w:rsidRPr="00630C62" w:rsidRDefault="00630C62" w:rsidP="00630C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05D5">
        <w:rPr>
          <w:rFonts w:ascii="Times New Roman" w:hAnsi="Times New Roman" w:cs="Times New Roman"/>
          <w:sz w:val="26"/>
          <w:szCs w:val="26"/>
        </w:rPr>
        <w:t>ПОРЯДОК</w:t>
      </w:r>
      <w:r w:rsidRPr="004F05D5">
        <w:rPr>
          <w:rFonts w:ascii="Times New Roman" w:hAnsi="Times New Roman" w:cs="Times New Roman"/>
          <w:sz w:val="26"/>
          <w:szCs w:val="26"/>
        </w:rPr>
        <w:br/>
        <w:t xml:space="preserve">формирования, ведения, обязательного опубликования </w:t>
      </w:r>
      <w:r w:rsidRPr="004F05D5">
        <w:rPr>
          <w:rFonts w:ascii="Times New Roman" w:hAnsi="Times New Roman" w:cs="Times New Roman"/>
          <w:sz w:val="26"/>
          <w:szCs w:val="26"/>
        </w:rPr>
        <w:br/>
      </w:r>
      <w:r w:rsidR="004F05D5" w:rsidRPr="004F05D5">
        <w:rPr>
          <w:rFonts w:ascii="Times New Roman" w:hAnsi="Times New Roman" w:cs="Times New Roman"/>
          <w:sz w:val="26"/>
          <w:szCs w:val="26"/>
        </w:rPr>
        <w:t>перечня имущества муниципальной собственности Брянского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30C62">
        <w:rPr>
          <w:rFonts w:ascii="Times New Roman" w:hAnsi="Times New Roman" w:cs="Times New Roman"/>
          <w:sz w:val="24"/>
          <w:szCs w:val="24"/>
        </w:rPr>
        <w:t>.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C62" w:rsidRPr="000B4CAC" w:rsidRDefault="00630C62" w:rsidP="00630C6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B4CA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C62" w:rsidRPr="00630C62" w:rsidRDefault="00630C62" w:rsidP="00630C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1D7" w:rsidRDefault="00630C62" w:rsidP="000B4CAC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05D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F05D5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B761D7" w:rsidRPr="00B761D7">
        <w:rPr>
          <w:rFonts w:ascii="Times New Roman" w:hAnsi="Times New Roman" w:cs="Times New Roman"/>
          <w:sz w:val="26"/>
          <w:szCs w:val="26"/>
        </w:rPr>
        <w:t xml:space="preserve"> </w:t>
      </w:r>
      <w:r w:rsidR="00B761D7" w:rsidRPr="004F05D5">
        <w:rPr>
          <w:rFonts w:ascii="Times New Roman" w:hAnsi="Times New Roman" w:cs="Times New Roman"/>
          <w:sz w:val="26"/>
          <w:szCs w:val="26"/>
        </w:rPr>
        <w:t>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F05D5">
        <w:rPr>
          <w:rFonts w:ascii="Times New Roman" w:hAnsi="Times New Roman" w:cs="Times New Roman"/>
          <w:sz w:val="26"/>
          <w:szCs w:val="26"/>
        </w:rPr>
        <w:t xml:space="preserve"> </w:t>
      </w:r>
      <w:r w:rsidR="00113EF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D6951">
        <w:rPr>
          <w:rFonts w:ascii="Times New Roman" w:hAnsi="Times New Roman" w:cs="Times New Roman"/>
          <w:sz w:val="26"/>
          <w:szCs w:val="26"/>
        </w:rPr>
        <w:t xml:space="preserve">- </w:t>
      </w:r>
      <w:r w:rsidR="00113EF6">
        <w:rPr>
          <w:rFonts w:ascii="Times New Roman" w:hAnsi="Times New Roman" w:cs="Times New Roman"/>
          <w:sz w:val="26"/>
          <w:szCs w:val="26"/>
        </w:rPr>
        <w:t>Порядок)</w:t>
      </w:r>
      <w:r w:rsidR="00113EF6" w:rsidRPr="004F05D5">
        <w:rPr>
          <w:rFonts w:ascii="Times New Roman" w:hAnsi="Times New Roman" w:cs="Times New Roman"/>
          <w:sz w:val="26"/>
          <w:szCs w:val="26"/>
        </w:rPr>
        <w:t xml:space="preserve"> </w:t>
      </w:r>
      <w:r w:rsidRPr="004F05D5">
        <w:rPr>
          <w:rFonts w:ascii="Times New Roman" w:hAnsi="Times New Roman" w:cs="Times New Roman"/>
          <w:sz w:val="26"/>
          <w:szCs w:val="26"/>
        </w:rPr>
        <w:t xml:space="preserve">разработан в соответствии с Федеральным </w:t>
      </w:r>
      <w:hyperlink r:id="rId6" w:history="1">
        <w:r w:rsidRPr="004F05D5">
          <w:rPr>
            <w:rStyle w:val="a6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4F05D5">
        <w:rPr>
          <w:rFonts w:ascii="Times New Roman" w:hAnsi="Times New Roman" w:cs="Times New Roman"/>
          <w:sz w:val="26"/>
          <w:szCs w:val="26"/>
        </w:rPr>
        <w:t xml:space="preserve"> от 24 июля 2007 года № 209-ФЗ «О развитии малого и среднего предпринимательства в Российской Федерации»</w:t>
      </w:r>
      <w:r w:rsidR="00B761D7">
        <w:rPr>
          <w:rFonts w:ascii="Times New Roman" w:hAnsi="Times New Roman" w:cs="Times New Roman"/>
          <w:sz w:val="26"/>
          <w:szCs w:val="26"/>
        </w:rPr>
        <w:t xml:space="preserve"> </w:t>
      </w:r>
      <w:r w:rsidRPr="004F05D5">
        <w:rPr>
          <w:rFonts w:ascii="Times New Roman" w:hAnsi="Times New Roman" w:cs="Times New Roman"/>
          <w:sz w:val="26"/>
          <w:szCs w:val="26"/>
        </w:rPr>
        <w:t>и определяет</w:t>
      </w:r>
      <w:proofErr w:type="gramEnd"/>
      <w:r w:rsidRPr="004F05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05D5">
        <w:rPr>
          <w:rFonts w:ascii="Times New Roman" w:hAnsi="Times New Roman" w:cs="Times New Roman"/>
          <w:sz w:val="26"/>
          <w:szCs w:val="26"/>
        </w:rPr>
        <w:t xml:space="preserve">механизм формирования, ведения и опубликования перечня имущества </w:t>
      </w:r>
      <w:r w:rsidR="004F05D5" w:rsidRPr="004F05D5">
        <w:rPr>
          <w:rFonts w:ascii="Times New Roman" w:hAnsi="Times New Roman" w:cs="Times New Roman"/>
          <w:sz w:val="26"/>
          <w:szCs w:val="26"/>
        </w:rPr>
        <w:t>муниципальной собственности Брянского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761D7" w:rsidRPr="00B761D7">
        <w:rPr>
          <w:rFonts w:ascii="Times New Roman" w:hAnsi="Times New Roman" w:cs="Times New Roman"/>
          <w:sz w:val="26"/>
          <w:szCs w:val="26"/>
        </w:rPr>
        <w:t xml:space="preserve"> </w:t>
      </w:r>
      <w:r w:rsidR="00B761D7" w:rsidRPr="0060396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2D6951">
        <w:rPr>
          <w:rFonts w:ascii="Times New Roman" w:hAnsi="Times New Roman" w:cs="Times New Roman"/>
          <w:sz w:val="26"/>
          <w:szCs w:val="26"/>
        </w:rPr>
        <w:t>п</w:t>
      </w:r>
      <w:r w:rsidR="00B761D7" w:rsidRPr="00603964">
        <w:rPr>
          <w:rFonts w:ascii="Times New Roman" w:hAnsi="Times New Roman" w:cs="Times New Roman"/>
          <w:sz w:val="26"/>
          <w:szCs w:val="26"/>
        </w:rPr>
        <w:t>еречень)</w:t>
      </w:r>
      <w:r w:rsidR="00B761D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30C62" w:rsidRPr="00603964" w:rsidRDefault="00113EF6" w:rsidP="000B4CAC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Имущество, включенное в </w:t>
      </w:r>
      <w:r w:rsidR="002D6951">
        <w:rPr>
          <w:rFonts w:ascii="Times New Roman" w:hAnsi="Times New Roman" w:cs="Times New Roman"/>
          <w:sz w:val="26"/>
          <w:szCs w:val="26"/>
        </w:rPr>
        <w:t>п</w:t>
      </w:r>
      <w:r w:rsidR="00B761D7">
        <w:rPr>
          <w:rFonts w:ascii="Times New Roman" w:hAnsi="Times New Roman" w:cs="Times New Roman"/>
          <w:sz w:val="26"/>
          <w:szCs w:val="26"/>
        </w:rPr>
        <w:t xml:space="preserve">еречень предназначено </w:t>
      </w:r>
      <w:r w:rsidR="00AB29F7" w:rsidRPr="00603964">
        <w:rPr>
          <w:rFonts w:ascii="Times New Roman" w:hAnsi="Times New Roman" w:cs="Times New Roman"/>
          <w:sz w:val="26"/>
          <w:szCs w:val="26"/>
        </w:rPr>
        <w:t>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</w:t>
      </w:r>
      <w:r w:rsidR="00603964">
        <w:rPr>
          <w:rFonts w:ascii="Times New Roman" w:hAnsi="Times New Roman" w:cs="Times New Roman"/>
          <w:sz w:val="26"/>
          <w:szCs w:val="26"/>
        </w:rPr>
        <w:t xml:space="preserve">им </w:t>
      </w:r>
      <w:r w:rsidR="00AB29F7" w:rsidRPr="00603964">
        <w:rPr>
          <w:rFonts w:ascii="Times New Roman" w:hAnsi="Times New Roman" w:cs="Times New Roman"/>
          <w:sz w:val="26"/>
          <w:szCs w:val="26"/>
        </w:rPr>
        <w:t>лиц</w:t>
      </w:r>
      <w:r w:rsidR="00603964">
        <w:rPr>
          <w:rFonts w:ascii="Times New Roman" w:hAnsi="Times New Roman" w:cs="Times New Roman"/>
          <w:sz w:val="26"/>
          <w:szCs w:val="26"/>
        </w:rPr>
        <w:t>ам</w:t>
      </w:r>
      <w:r w:rsidR="00AB29F7" w:rsidRPr="00603964">
        <w:rPr>
          <w:rFonts w:ascii="Times New Roman" w:hAnsi="Times New Roman" w:cs="Times New Roman"/>
          <w:sz w:val="26"/>
          <w:szCs w:val="26"/>
        </w:rPr>
        <w:t>, которые не являются индивидуальными предпринимателями и применяют специальный налоговый режим «Налог на профессиональный доход»</w:t>
      </w:r>
      <w:r w:rsidR="00B761D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F05D5" w:rsidRPr="004F05D5" w:rsidRDefault="00630C62" w:rsidP="000B4CA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05D5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2D6951">
        <w:rPr>
          <w:rFonts w:ascii="Times New Roman" w:hAnsi="Times New Roman" w:cs="Times New Roman"/>
          <w:sz w:val="26"/>
          <w:szCs w:val="26"/>
        </w:rPr>
        <w:t>В п</w:t>
      </w:r>
      <w:r w:rsidR="004F05D5" w:rsidRPr="004F05D5">
        <w:rPr>
          <w:rFonts w:ascii="Times New Roman" w:hAnsi="Times New Roman" w:cs="Times New Roman"/>
          <w:sz w:val="26"/>
          <w:szCs w:val="26"/>
        </w:rPr>
        <w:t>еречень включаются объекты недвижимого и движимого имущества, находящиеся в муниципальной собственности Брянского муниципального района,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здания, строения, сооружения</w:t>
      </w:r>
      <w:proofErr w:type="gramEnd"/>
      <w:r w:rsidR="004F05D5" w:rsidRPr="004F05D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F05D5" w:rsidRPr="004F05D5">
        <w:rPr>
          <w:rFonts w:ascii="Times New Roman" w:hAnsi="Times New Roman" w:cs="Times New Roman"/>
          <w:sz w:val="26"/>
          <w:szCs w:val="26"/>
        </w:rPr>
        <w:t>нежилые помещения, оборудование, машины, механизмы, установки, транспортные средства, инвентарь, инструменты (далее - имущество).</w:t>
      </w:r>
      <w:proofErr w:type="gramEnd"/>
    </w:p>
    <w:p w:rsidR="00630C62" w:rsidRPr="000B4CAC" w:rsidRDefault="002D6951" w:rsidP="000B4CA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4F05D5" w:rsidRPr="004F05D5">
        <w:rPr>
          <w:sz w:val="26"/>
          <w:szCs w:val="26"/>
        </w:rPr>
        <w:t xml:space="preserve">еречень не включаются земельные участки, предусмотренные </w:t>
      </w:r>
      <w:hyperlink r:id="rId7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подпунктами 1</w:t>
        </w:r>
      </w:hyperlink>
      <w:r w:rsidR="004F05D5" w:rsidRPr="004F05D5">
        <w:rPr>
          <w:sz w:val="26"/>
          <w:szCs w:val="26"/>
        </w:rPr>
        <w:t>-</w:t>
      </w:r>
      <w:hyperlink r:id="rId8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10</w:t>
        </w:r>
      </w:hyperlink>
      <w:r w:rsidR="004F05D5" w:rsidRPr="004F05D5">
        <w:rPr>
          <w:sz w:val="26"/>
          <w:szCs w:val="26"/>
        </w:rPr>
        <w:t xml:space="preserve">, </w:t>
      </w:r>
      <w:hyperlink r:id="rId9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13</w:t>
        </w:r>
      </w:hyperlink>
      <w:r w:rsidR="004F05D5" w:rsidRPr="004F05D5">
        <w:rPr>
          <w:sz w:val="26"/>
          <w:szCs w:val="26"/>
        </w:rPr>
        <w:t xml:space="preserve"> - </w:t>
      </w:r>
      <w:hyperlink r:id="rId10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15</w:t>
        </w:r>
      </w:hyperlink>
      <w:r w:rsidR="004F05D5" w:rsidRPr="004F05D5">
        <w:rPr>
          <w:sz w:val="26"/>
          <w:szCs w:val="26"/>
        </w:rPr>
        <w:t xml:space="preserve">, </w:t>
      </w:r>
      <w:hyperlink r:id="rId11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18</w:t>
        </w:r>
      </w:hyperlink>
      <w:r w:rsidR="004F05D5" w:rsidRPr="004F05D5">
        <w:rPr>
          <w:sz w:val="26"/>
          <w:szCs w:val="26"/>
        </w:rPr>
        <w:t xml:space="preserve"> и </w:t>
      </w:r>
      <w:hyperlink r:id="rId12" w:history="1">
        <w:r w:rsidR="004F05D5" w:rsidRPr="004F05D5">
          <w:rPr>
            <w:rStyle w:val="a6"/>
            <w:color w:val="auto"/>
            <w:sz w:val="26"/>
            <w:szCs w:val="26"/>
            <w:u w:val="none"/>
          </w:rPr>
          <w:t>19 пункта 8 статьи 39.11</w:t>
        </w:r>
      </w:hyperlink>
      <w:r w:rsidR="004F05D5" w:rsidRPr="004F05D5">
        <w:rPr>
          <w:sz w:val="26"/>
          <w:szCs w:val="26"/>
        </w:rPr>
        <w:t xml:space="preserve"> Земельного кодекса Российской Федерации, за </w:t>
      </w:r>
      <w:r w:rsidR="004F05D5" w:rsidRPr="000B4CAC">
        <w:rPr>
          <w:sz w:val="26"/>
          <w:szCs w:val="26"/>
        </w:rPr>
        <w:t xml:space="preserve">исключением земельных участков </w:t>
      </w:r>
      <w:r w:rsidR="00630C62" w:rsidRPr="000B4CAC">
        <w:rPr>
          <w:sz w:val="26"/>
          <w:szCs w:val="26"/>
        </w:rPr>
        <w:t>(далее - имущество).</w:t>
      </w:r>
    </w:p>
    <w:p w:rsidR="00630C62" w:rsidRPr="000B4CAC" w:rsidRDefault="002D6951" w:rsidP="000B4CA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Имущество, включенное в п</w:t>
      </w:r>
      <w:r w:rsidR="00630C62" w:rsidRPr="000B4CAC">
        <w:rPr>
          <w:sz w:val="26"/>
          <w:szCs w:val="26"/>
        </w:rPr>
        <w:t xml:space="preserve">еречень, предоставляется в аренду в порядке, установленном действующим законодательством Российской Федерации, по результатам проведения конкурсов или аукционов с учетом особенностей, установленных </w:t>
      </w:r>
      <w:hyperlink r:id="rId13" w:history="1">
        <w:r w:rsidR="00630C62" w:rsidRPr="000B4CAC">
          <w:rPr>
            <w:rStyle w:val="a6"/>
            <w:color w:val="auto"/>
            <w:sz w:val="26"/>
            <w:szCs w:val="26"/>
            <w:u w:val="none"/>
          </w:rPr>
          <w:t>статьей 17.1</w:t>
        </w:r>
      </w:hyperlink>
      <w:r w:rsidR="00630C62" w:rsidRPr="000B4CAC">
        <w:rPr>
          <w:sz w:val="26"/>
          <w:szCs w:val="26"/>
        </w:rPr>
        <w:t xml:space="preserve"> Федерального закона от 26 июля 2006 г. № 135-ФЗ «О защите конкуренции».</w:t>
      </w:r>
    </w:p>
    <w:p w:rsidR="000B4CAC" w:rsidRPr="000B4CAC" w:rsidRDefault="000B4CAC" w:rsidP="000B4CAC">
      <w:pPr>
        <w:pStyle w:val="ConsPlusNormal"/>
        <w:ind w:firstLine="540"/>
        <w:jc w:val="both"/>
        <w:rPr>
          <w:sz w:val="26"/>
          <w:szCs w:val="26"/>
        </w:rPr>
      </w:pPr>
      <w:r w:rsidRPr="000B4CAC">
        <w:rPr>
          <w:sz w:val="26"/>
          <w:szCs w:val="26"/>
        </w:rPr>
        <w:lastRenderedPageBreak/>
        <w:t>Порядок и условия предоставления в аренду зе</w:t>
      </w:r>
      <w:r w:rsidR="002D6951">
        <w:rPr>
          <w:sz w:val="26"/>
          <w:szCs w:val="26"/>
        </w:rPr>
        <w:t>мельных участков, включенных в п</w:t>
      </w:r>
      <w:r w:rsidRPr="000B4CAC">
        <w:rPr>
          <w:sz w:val="26"/>
          <w:szCs w:val="26"/>
        </w:rPr>
        <w:t>еречень, устанавливается в соответствии с гражданским законодательством и земельным законодательством.</w:t>
      </w:r>
    </w:p>
    <w:p w:rsidR="000B4CAC" w:rsidRPr="000B4CAC" w:rsidRDefault="000B4CAC" w:rsidP="000B4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4CAC">
        <w:rPr>
          <w:rFonts w:ascii="Times New Roman" w:hAnsi="Times New Roman" w:cs="Times New Roman"/>
          <w:sz w:val="26"/>
          <w:szCs w:val="26"/>
        </w:rPr>
        <w:t>Срок, на который заключаются договоры в отно</w:t>
      </w:r>
      <w:r w:rsidR="002D6951">
        <w:rPr>
          <w:rFonts w:ascii="Times New Roman" w:hAnsi="Times New Roman" w:cs="Times New Roman"/>
          <w:sz w:val="26"/>
          <w:szCs w:val="26"/>
        </w:rPr>
        <w:t>шении имущества, включенного в п</w:t>
      </w:r>
      <w:r w:rsidRPr="000B4CAC">
        <w:rPr>
          <w:rFonts w:ascii="Times New Roman" w:hAnsi="Times New Roman" w:cs="Times New Roman"/>
          <w:sz w:val="26"/>
          <w:szCs w:val="26"/>
        </w:rPr>
        <w:t>еречень, составля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0B4CAC">
        <w:rPr>
          <w:rFonts w:ascii="Times New Roman" w:hAnsi="Times New Roman" w:cs="Times New Roman"/>
          <w:sz w:val="26"/>
          <w:szCs w:val="26"/>
        </w:rPr>
        <w:t xml:space="preserve">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0B4CAC">
        <w:rPr>
          <w:rFonts w:ascii="Times New Roman" w:hAnsi="Times New Roman" w:cs="Times New Roman"/>
          <w:sz w:val="26"/>
          <w:szCs w:val="26"/>
        </w:rPr>
        <w:t>бизнес-инкубаторами</w:t>
      </w:r>
      <w:proofErr w:type="spellEnd"/>
      <w:proofErr w:type="gramEnd"/>
      <w:r w:rsidRPr="000B4CAC">
        <w:rPr>
          <w:rFonts w:ascii="Times New Roman" w:hAnsi="Times New Roman" w:cs="Times New Roman"/>
          <w:sz w:val="26"/>
          <w:szCs w:val="26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6A0B66" w:rsidRPr="000B4CAC" w:rsidRDefault="006A0B66" w:rsidP="000B4CAC">
      <w:pPr>
        <w:pStyle w:val="ConsPlusNormal"/>
        <w:ind w:firstLine="540"/>
        <w:jc w:val="both"/>
        <w:rPr>
          <w:sz w:val="26"/>
          <w:szCs w:val="26"/>
        </w:rPr>
      </w:pPr>
    </w:p>
    <w:p w:rsidR="00630C62" w:rsidRPr="00192830" w:rsidRDefault="00630C62" w:rsidP="00630C62">
      <w:pPr>
        <w:pStyle w:val="ConsPlusNormal"/>
        <w:jc w:val="center"/>
        <w:outlineLvl w:val="1"/>
        <w:rPr>
          <w:sz w:val="26"/>
          <w:szCs w:val="26"/>
        </w:rPr>
      </w:pPr>
      <w:r w:rsidRPr="00192830">
        <w:rPr>
          <w:sz w:val="26"/>
          <w:szCs w:val="26"/>
        </w:rPr>
        <w:t xml:space="preserve">II. </w:t>
      </w:r>
      <w:r w:rsidR="002D6951">
        <w:rPr>
          <w:sz w:val="26"/>
          <w:szCs w:val="26"/>
        </w:rPr>
        <w:t>Порядок формирования и ведения п</w:t>
      </w:r>
      <w:r w:rsidRPr="00192830">
        <w:rPr>
          <w:sz w:val="26"/>
          <w:szCs w:val="26"/>
        </w:rPr>
        <w:t>еречня</w:t>
      </w:r>
      <w:r w:rsidR="002D6951">
        <w:rPr>
          <w:sz w:val="26"/>
          <w:szCs w:val="26"/>
        </w:rPr>
        <w:t>.</w:t>
      </w:r>
    </w:p>
    <w:p w:rsidR="00630C62" w:rsidRDefault="00630C62" w:rsidP="00630C62">
      <w:pPr>
        <w:pStyle w:val="ConsPlusNormal"/>
        <w:jc w:val="center"/>
      </w:pPr>
    </w:p>
    <w:p w:rsidR="00630C62" w:rsidRPr="00192830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192830">
        <w:rPr>
          <w:sz w:val="26"/>
          <w:szCs w:val="26"/>
        </w:rPr>
        <w:t xml:space="preserve">2.1. </w:t>
      </w:r>
      <w:hyperlink w:anchor="P84" w:history="1">
        <w:r w:rsidRPr="00192830">
          <w:rPr>
            <w:rStyle w:val="a6"/>
            <w:color w:val="000000"/>
            <w:sz w:val="26"/>
            <w:szCs w:val="26"/>
            <w:u w:val="none"/>
          </w:rPr>
          <w:t>Перечень</w:t>
        </w:r>
      </w:hyperlink>
      <w:r w:rsidRPr="00192830">
        <w:rPr>
          <w:sz w:val="26"/>
          <w:szCs w:val="26"/>
        </w:rPr>
        <w:t xml:space="preserve"> составляется по форме согласно приложению к настоящему Порядку.</w:t>
      </w:r>
    </w:p>
    <w:p w:rsidR="00630C62" w:rsidRPr="00192830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192830">
        <w:rPr>
          <w:sz w:val="26"/>
          <w:szCs w:val="26"/>
        </w:rPr>
        <w:t>2.2. Формирование и ведение перечня, внесение в него изменений осуществляется Комитетом по управлению муниципальным имуществом Брянского района (далее - уполномоченный орган).</w:t>
      </w:r>
    </w:p>
    <w:p w:rsidR="00630C62" w:rsidRPr="00192830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192830">
        <w:rPr>
          <w:sz w:val="26"/>
          <w:szCs w:val="26"/>
        </w:rPr>
        <w:t xml:space="preserve">2.3. Имущество, включаемое в </w:t>
      </w:r>
      <w:r w:rsidR="002D6951">
        <w:rPr>
          <w:sz w:val="26"/>
          <w:szCs w:val="26"/>
        </w:rPr>
        <w:t>п</w:t>
      </w:r>
      <w:r w:rsidRPr="00192830">
        <w:rPr>
          <w:sz w:val="26"/>
          <w:szCs w:val="26"/>
        </w:rPr>
        <w:t xml:space="preserve">еречень, должно быть пригодно для использования его по целевому назначению для ведения предпринимательской деятельности, заключения соответствующего договора о передаче имущества во владение и (или) пользование субъекту малого и среднего предпринимательства. </w:t>
      </w:r>
    </w:p>
    <w:p w:rsidR="00630C62" w:rsidRPr="00192830" w:rsidRDefault="002D6951" w:rsidP="00630C6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Включаемое в п</w:t>
      </w:r>
      <w:r w:rsidR="00630C62" w:rsidRPr="00192830">
        <w:rPr>
          <w:sz w:val="26"/>
          <w:szCs w:val="26"/>
        </w:rPr>
        <w:t>еречень имущество 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прогнозный план приватизации на следующий год или плановый период либо иное подлежащее исполнению решение собственника о предоставлении третьему лицу.</w:t>
      </w:r>
    </w:p>
    <w:p w:rsidR="00192830" w:rsidRPr="00192830" w:rsidRDefault="00192830" w:rsidP="00192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2830">
        <w:rPr>
          <w:rFonts w:ascii="Times New Roman" w:hAnsi="Times New Roman" w:cs="Times New Roman"/>
          <w:sz w:val="26"/>
          <w:szCs w:val="26"/>
        </w:rPr>
        <w:t>2.5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</w:t>
      </w:r>
      <w:r w:rsidR="002D6951">
        <w:rPr>
          <w:rFonts w:ascii="Times New Roman" w:hAnsi="Times New Roman" w:cs="Times New Roman"/>
          <w:sz w:val="26"/>
          <w:szCs w:val="26"/>
        </w:rPr>
        <w:t>ючено в п</w:t>
      </w:r>
      <w:r w:rsidRPr="00192830">
        <w:rPr>
          <w:rFonts w:ascii="Times New Roman" w:hAnsi="Times New Roman" w:cs="Times New Roman"/>
          <w:sz w:val="26"/>
          <w:szCs w:val="26"/>
        </w:rPr>
        <w:t>еречень, в целях предоставления такого имущества во владение и (или) в пользование субъектам малого и среднего</w:t>
      </w:r>
      <w:proofErr w:type="gramEnd"/>
      <w:r w:rsidRPr="00192830">
        <w:rPr>
          <w:rFonts w:ascii="Times New Roman" w:hAnsi="Times New Roman" w:cs="Times New Roman"/>
          <w:sz w:val="26"/>
          <w:szCs w:val="26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30C62" w:rsidRPr="000842A5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0842A5">
        <w:rPr>
          <w:sz w:val="26"/>
          <w:szCs w:val="26"/>
        </w:rPr>
        <w:t>2.5.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закона № 209-ФЗ «О развитии малого и среднего предпринимательства в Российской Федерации».</w:t>
      </w:r>
    </w:p>
    <w:p w:rsidR="00630C62" w:rsidRPr="000842A5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0842A5">
        <w:rPr>
          <w:sz w:val="26"/>
          <w:szCs w:val="26"/>
        </w:rPr>
        <w:t xml:space="preserve">2.6. Перечень подлежит уточнению в случае гибели (порчи) объекта, необходимости включения новых объектов, исключения объектов из перечня, возникновения либо прекращения обременения. </w:t>
      </w:r>
    </w:p>
    <w:p w:rsidR="00192830" w:rsidRPr="00192830" w:rsidRDefault="00630C62" w:rsidP="00192830">
      <w:pPr>
        <w:pStyle w:val="a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42A5"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="00113EF6">
        <w:rPr>
          <w:rFonts w:ascii="Times New Roman" w:hAnsi="Times New Roman" w:cs="Times New Roman"/>
          <w:sz w:val="26"/>
          <w:szCs w:val="26"/>
        </w:rPr>
        <w:t xml:space="preserve">Имущество, включенное в </w:t>
      </w:r>
      <w:r w:rsidR="002D6951">
        <w:rPr>
          <w:rFonts w:ascii="Times New Roman" w:hAnsi="Times New Roman" w:cs="Times New Roman"/>
          <w:sz w:val="26"/>
          <w:szCs w:val="26"/>
        </w:rPr>
        <w:t>п</w:t>
      </w:r>
      <w:r w:rsidR="00192830" w:rsidRPr="000842A5">
        <w:rPr>
          <w:rFonts w:ascii="Times New Roman" w:hAnsi="Times New Roman" w:cs="Times New Roman"/>
          <w:sz w:val="26"/>
          <w:szCs w:val="26"/>
        </w:rPr>
        <w:t>еречень, не подлежит продаже, за исключением</w:t>
      </w:r>
      <w:r w:rsidR="00192830" w:rsidRPr="00192830">
        <w:rPr>
          <w:rFonts w:ascii="Times New Roman" w:hAnsi="Times New Roman" w:cs="Times New Roman"/>
          <w:sz w:val="26"/>
          <w:szCs w:val="26"/>
        </w:rPr>
        <w:t xml:space="preserve">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4" w:history="1">
        <w:r w:rsidR="00192830" w:rsidRPr="0019283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92830" w:rsidRPr="00192830">
        <w:rPr>
          <w:rFonts w:ascii="Times New Roman" w:hAnsi="Times New Roman" w:cs="Times New Roman"/>
          <w:sz w:val="26"/>
          <w:szCs w:val="26"/>
        </w:rPr>
        <w:t xml:space="preserve">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192830" w:rsidRPr="00192830">
        <w:rPr>
          <w:rFonts w:ascii="Times New Roman" w:hAnsi="Times New Roman" w:cs="Times New Roman"/>
          <w:sz w:val="26"/>
          <w:szCs w:val="26"/>
        </w:rPr>
        <w:t xml:space="preserve">» и в случаях, указанных в </w:t>
      </w:r>
      <w:hyperlink r:id="rId15" w:history="1">
        <w:r w:rsidR="00192830" w:rsidRPr="00192830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="00192830" w:rsidRPr="00192830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="00192830" w:rsidRPr="00192830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192830" w:rsidRPr="0019283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="00192830" w:rsidRPr="00192830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="00192830" w:rsidRPr="00192830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 </w:t>
      </w:r>
    </w:p>
    <w:p w:rsidR="00630C62" w:rsidRPr="00192830" w:rsidRDefault="00192830" w:rsidP="0019283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192830">
        <w:rPr>
          <w:sz w:val="26"/>
          <w:szCs w:val="26"/>
        </w:rPr>
        <w:t xml:space="preserve">В отношении имущества, включенного в </w:t>
      </w:r>
      <w:r w:rsidR="002D6951">
        <w:rPr>
          <w:sz w:val="26"/>
          <w:szCs w:val="26"/>
        </w:rPr>
        <w:t>п</w:t>
      </w:r>
      <w:r w:rsidRPr="00192830">
        <w:rPr>
          <w:sz w:val="26"/>
          <w:szCs w:val="26"/>
        </w:rPr>
        <w:t xml:space="preserve">еречень запрещаются также переуступка прав пользования им, передача прав пользования им в залог и внесение </w:t>
      </w:r>
      <w:r w:rsidRPr="00192830">
        <w:rPr>
          <w:sz w:val="26"/>
          <w:szCs w:val="26"/>
        </w:rPr>
        <w:lastRenderedPageBreak/>
        <w:t>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</w:t>
      </w:r>
      <w:proofErr w:type="gramEnd"/>
      <w:r w:rsidRPr="00192830">
        <w:rPr>
          <w:sz w:val="26"/>
          <w:szCs w:val="26"/>
        </w:rPr>
        <w:t xml:space="preserve">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8" w:history="1">
        <w:r w:rsidRPr="00192830">
          <w:rPr>
            <w:sz w:val="26"/>
            <w:szCs w:val="26"/>
          </w:rPr>
          <w:t>пунктом 14 части 1 статьи 17.1</w:t>
        </w:r>
      </w:hyperlink>
      <w:r w:rsidRPr="00192830">
        <w:rPr>
          <w:sz w:val="26"/>
          <w:szCs w:val="26"/>
        </w:rPr>
        <w:t xml:space="preserve"> Федерального закона от 26 июля 2006 года № 135-ФЗ «О защите конкуренции».</w:t>
      </w:r>
    </w:p>
    <w:p w:rsidR="00630C62" w:rsidRDefault="00630C62" w:rsidP="00630C62">
      <w:pPr>
        <w:pStyle w:val="ConsPlusNormal"/>
        <w:ind w:firstLine="540"/>
        <w:jc w:val="both"/>
      </w:pPr>
    </w:p>
    <w:p w:rsidR="00630C62" w:rsidRPr="009341D0" w:rsidRDefault="00630C62" w:rsidP="00630C62">
      <w:pPr>
        <w:pStyle w:val="ConsPlusNormal"/>
        <w:jc w:val="center"/>
        <w:outlineLvl w:val="1"/>
        <w:rPr>
          <w:sz w:val="26"/>
          <w:szCs w:val="26"/>
        </w:rPr>
      </w:pPr>
      <w:r w:rsidRPr="009341D0">
        <w:rPr>
          <w:sz w:val="26"/>
          <w:szCs w:val="26"/>
        </w:rPr>
        <w:t xml:space="preserve">III. Опубликование </w:t>
      </w:r>
      <w:r w:rsidR="002D6951">
        <w:rPr>
          <w:sz w:val="26"/>
          <w:szCs w:val="26"/>
        </w:rPr>
        <w:t>п</w:t>
      </w:r>
      <w:r w:rsidRPr="009341D0">
        <w:rPr>
          <w:sz w:val="26"/>
          <w:szCs w:val="26"/>
        </w:rPr>
        <w:t>еречня</w:t>
      </w:r>
      <w:r w:rsidR="002D6951">
        <w:rPr>
          <w:sz w:val="26"/>
          <w:szCs w:val="26"/>
        </w:rPr>
        <w:t>.</w:t>
      </w:r>
    </w:p>
    <w:p w:rsidR="00630C62" w:rsidRPr="009341D0" w:rsidRDefault="00630C62" w:rsidP="00630C62">
      <w:pPr>
        <w:pStyle w:val="ConsPlusNormal"/>
        <w:jc w:val="center"/>
        <w:rPr>
          <w:sz w:val="26"/>
          <w:szCs w:val="26"/>
        </w:rPr>
      </w:pPr>
    </w:p>
    <w:p w:rsidR="00630C62" w:rsidRPr="009341D0" w:rsidRDefault="00630C62" w:rsidP="00630C62">
      <w:pPr>
        <w:pStyle w:val="ConsPlusNormal"/>
        <w:ind w:firstLine="540"/>
        <w:jc w:val="both"/>
        <w:rPr>
          <w:sz w:val="26"/>
          <w:szCs w:val="26"/>
        </w:rPr>
      </w:pPr>
      <w:r w:rsidRPr="009341D0">
        <w:rPr>
          <w:sz w:val="26"/>
          <w:szCs w:val="26"/>
        </w:rPr>
        <w:t>Перечень, а также внесенные в него изменения и дополнения подлежат обязательному опубликованию в информационно-телекоммуникационной сети Интернет: на официальном сайте Брянского муниципального района в течение 3 (трех) рабочих дней, а также на официальном сайте информационной поддержки субъектов малого и среднего предпринимательства в течение 5 (пяти) рабочих дней со дня утверждения.</w:t>
      </w: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Pr="001E4FFA" w:rsidRDefault="00630C62" w:rsidP="00630C62">
      <w:pPr>
        <w:jc w:val="center"/>
        <w:rPr>
          <w:sz w:val="24"/>
          <w:szCs w:val="24"/>
        </w:rPr>
      </w:pPr>
    </w:p>
    <w:p w:rsidR="00630C62" w:rsidRDefault="00630C62" w:rsidP="00630C62">
      <w:pPr>
        <w:pStyle w:val="ConsPlusNormal"/>
        <w:jc w:val="right"/>
        <w:outlineLvl w:val="1"/>
        <w:sectPr w:rsidR="00630C62" w:rsidSect="0087599D">
          <w:pgSz w:w="11906" w:h="16838" w:code="9"/>
          <w:pgMar w:top="709" w:right="707" w:bottom="709" w:left="1418" w:header="720" w:footer="720" w:gutter="0"/>
          <w:cols w:space="720"/>
        </w:sectPr>
      </w:pPr>
    </w:p>
    <w:tbl>
      <w:tblPr>
        <w:tblW w:w="0" w:type="auto"/>
        <w:tblInd w:w="10456" w:type="dxa"/>
        <w:tblLook w:val="04A0"/>
      </w:tblPr>
      <w:tblGrid>
        <w:gridCol w:w="5245"/>
      </w:tblGrid>
      <w:tr w:rsidR="00630C62" w:rsidTr="000842A5">
        <w:tc>
          <w:tcPr>
            <w:tcW w:w="5245" w:type="dxa"/>
          </w:tcPr>
          <w:p w:rsidR="00630C62" w:rsidRDefault="00630C62" w:rsidP="000842A5">
            <w:pPr>
              <w:pStyle w:val="ConsPlusNormal"/>
              <w:jc w:val="both"/>
              <w:outlineLvl w:val="1"/>
            </w:pPr>
            <w:r>
              <w:lastRenderedPageBreak/>
              <w:t>Приложение</w:t>
            </w:r>
            <w:r>
              <w:br/>
              <w:t>к Поряд</w:t>
            </w:r>
            <w:r w:rsidR="000842A5">
              <w:t>ку</w:t>
            </w:r>
            <w:r w:rsidR="000842A5" w:rsidRPr="004F05D5">
              <w:rPr>
                <w:sz w:val="26"/>
                <w:szCs w:val="26"/>
              </w:rPr>
              <w:t xml:space="preserve"> формирования, ведения, обязательного опубликования перечня имущества муниципальной собственности Брянского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630C62" w:rsidRDefault="00630C62" w:rsidP="00630C62">
      <w:pPr>
        <w:pStyle w:val="ConsPlusNormal"/>
        <w:jc w:val="right"/>
        <w:outlineLvl w:val="1"/>
      </w:pPr>
    </w:p>
    <w:p w:rsidR="00630C62" w:rsidRDefault="00630C62" w:rsidP="00630C62">
      <w:pPr>
        <w:pStyle w:val="ConsPlusNormal"/>
        <w:jc w:val="right"/>
        <w:outlineLvl w:val="1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ind w:firstLine="540"/>
        <w:jc w:val="both"/>
      </w:pPr>
      <w:bookmarkStart w:id="0" w:name="P84"/>
      <w:bookmarkEnd w:id="0"/>
    </w:p>
    <w:p w:rsidR="00630C62" w:rsidRPr="000842A5" w:rsidRDefault="00630C62" w:rsidP="00630C62">
      <w:pPr>
        <w:pStyle w:val="ConsPlusNormal"/>
        <w:jc w:val="center"/>
        <w:rPr>
          <w:sz w:val="26"/>
          <w:szCs w:val="26"/>
        </w:rPr>
      </w:pPr>
      <w:r w:rsidRPr="000842A5">
        <w:rPr>
          <w:sz w:val="26"/>
          <w:szCs w:val="26"/>
        </w:rPr>
        <w:t xml:space="preserve">Типовая форма перечня </w:t>
      </w:r>
      <w:r w:rsidRPr="000842A5">
        <w:rPr>
          <w:sz w:val="26"/>
          <w:szCs w:val="26"/>
        </w:rPr>
        <w:br/>
        <w:t>имущества муниципальной собственности Брянского муниципального района, свободного от прав третьих лиц</w:t>
      </w:r>
      <w:r w:rsidR="000842A5" w:rsidRPr="000842A5">
        <w:rPr>
          <w:sz w:val="26"/>
          <w:szCs w:val="26"/>
        </w:rPr>
        <w:t xml:space="preserve"> </w:t>
      </w:r>
      <w:r w:rsidR="000842A5" w:rsidRPr="000842A5">
        <w:rPr>
          <w:sz w:val="26"/>
          <w:szCs w:val="26"/>
        </w:rPr>
        <w:br/>
        <w:t xml:space="preserve">(за исключением права хозяйственного ведения, права оперативного управления, </w:t>
      </w:r>
      <w:r w:rsidR="000842A5">
        <w:rPr>
          <w:sz w:val="26"/>
          <w:szCs w:val="26"/>
        </w:rPr>
        <w:br/>
      </w:r>
      <w:r w:rsidR="000842A5" w:rsidRPr="000842A5">
        <w:rPr>
          <w:sz w:val="26"/>
          <w:szCs w:val="26"/>
        </w:rPr>
        <w:t>а также имущественных прав субъектов малого и среднего предпринимательства)</w:t>
      </w:r>
    </w:p>
    <w:p w:rsidR="00630C62" w:rsidRDefault="00630C62" w:rsidP="00630C62">
      <w:pPr>
        <w:pStyle w:val="ConsPlusNormal"/>
        <w:jc w:val="center"/>
      </w:pPr>
    </w:p>
    <w:p w:rsidR="00630C62" w:rsidRDefault="00630C62" w:rsidP="00630C62">
      <w:pPr>
        <w:pStyle w:val="ConsPlusNormal"/>
        <w:ind w:firstLine="540"/>
        <w:jc w:val="both"/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3614"/>
        <w:gridCol w:w="2063"/>
        <w:gridCol w:w="2127"/>
        <w:gridCol w:w="2551"/>
        <w:gridCol w:w="2126"/>
        <w:gridCol w:w="1843"/>
      </w:tblGrid>
      <w:tr w:rsidR="00630C62" w:rsidTr="004F23F4">
        <w:tc>
          <w:tcPr>
            <w:tcW w:w="70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№</w:t>
            </w:r>
          </w:p>
          <w:p w:rsidR="00630C62" w:rsidRDefault="00630C62" w:rsidP="004F23F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14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06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Вид объекта муниципального имущества (</w:t>
            </w:r>
            <w:proofErr w:type="gramStart"/>
            <w:r>
              <w:t>движимое</w:t>
            </w:r>
            <w:proofErr w:type="gramEnd"/>
            <w:r>
              <w:t>, недвижимое)</w:t>
            </w:r>
          </w:p>
        </w:tc>
        <w:tc>
          <w:tcPr>
            <w:tcW w:w="2127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Основная характеристика объекта (площадь, протяженность, объем, регистрационный номер и т.п.)</w:t>
            </w:r>
          </w:p>
        </w:tc>
        <w:tc>
          <w:tcPr>
            <w:tcW w:w="2126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Правообладатель (арендатор)</w:t>
            </w:r>
          </w:p>
        </w:tc>
        <w:tc>
          <w:tcPr>
            <w:tcW w:w="184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Документы (дата, номер договора и срок действия)</w:t>
            </w:r>
          </w:p>
        </w:tc>
      </w:tr>
      <w:tr w:rsidR="00630C62" w:rsidTr="004F23F4">
        <w:tc>
          <w:tcPr>
            <w:tcW w:w="70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14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30C62" w:rsidRDefault="00630C62" w:rsidP="004F23F4">
            <w:pPr>
              <w:pStyle w:val="ConsPlusNormal"/>
              <w:jc w:val="center"/>
            </w:pPr>
            <w:r>
              <w:t>7</w:t>
            </w:r>
          </w:p>
        </w:tc>
      </w:tr>
    </w:tbl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0842A5">
      <w:pPr>
        <w:pStyle w:val="ConsPlusNormal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pStyle w:val="ConsPlusNormal"/>
        <w:ind w:firstLine="540"/>
        <w:jc w:val="both"/>
      </w:pPr>
    </w:p>
    <w:p w:rsidR="00630C62" w:rsidRDefault="00630C62" w:rsidP="00630C62">
      <w:pPr>
        <w:sectPr w:rsidR="00630C62" w:rsidSect="00017079">
          <w:type w:val="continuous"/>
          <w:pgSz w:w="16838" w:h="11906" w:orient="landscape" w:code="9"/>
          <w:pgMar w:top="1135" w:right="425" w:bottom="709" w:left="567" w:header="720" w:footer="720" w:gutter="0"/>
          <w:cols w:space="720"/>
        </w:sectPr>
      </w:pPr>
    </w:p>
    <w:p w:rsidR="006D682F" w:rsidRPr="00630C62" w:rsidRDefault="006D682F" w:rsidP="000842A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682F" w:rsidRPr="00630C62" w:rsidSect="00630C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630C62"/>
    <w:rsid w:val="000842A5"/>
    <w:rsid w:val="000B27C0"/>
    <w:rsid w:val="000B4CAC"/>
    <w:rsid w:val="00101041"/>
    <w:rsid w:val="00113EF6"/>
    <w:rsid w:val="00192830"/>
    <w:rsid w:val="002D28B0"/>
    <w:rsid w:val="002D6951"/>
    <w:rsid w:val="00361DE5"/>
    <w:rsid w:val="00471FF8"/>
    <w:rsid w:val="004F05D5"/>
    <w:rsid w:val="00592DA5"/>
    <w:rsid w:val="00603964"/>
    <w:rsid w:val="00630C62"/>
    <w:rsid w:val="006A0B66"/>
    <w:rsid w:val="006D682F"/>
    <w:rsid w:val="0078188E"/>
    <w:rsid w:val="008106EA"/>
    <w:rsid w:val="009341D0"/>
    <w:rsid w:val="00A518EC"/>
    <w:rsid w:val="00AB29F7"/>
    <w:rsid w:val="00AE54FC"/>
    <w:rsid w:val="00B75E39"/>
    <w:rsid w:val="00B761D7"/>
    <w:rsid w:val="00C83161"/>
    <w:rsid w:val="00CB6705"/>
    <w:rsid w:val="00D67116"/>
    <w:rsid w:val="00E16C0A"/>
    <w:rsid w:val="00F5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C62"/>
    <w:pPr>
      <w:spacing w:after="0" w:line="240" w:lineRule="auto"/>
    </w:pPr>
  </w:style>
  <w:style w:type="paragraph" w:styleId="a4">
    <w:name w:val="Title"/>
    <w:basedOn w:val="a"/>
    <w:link w:val="a5"/>
    <w:qFormat/>
    <w:rsid w:val="00630C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630C62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rsid w:val="00630C62"/>
    <w:rPr>
      <w:color w:val="0000FF"/>
      <w:u w:val="single"/>
    </w:rPr>
  </w:style>
  <w:style w:type="paragraph" w:customStyle="1" w:styleId="ConsPlusTitle">
    <w:name w:val="ConsPlusTitle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30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D44A17D807A6D0997D321DD692668028BEB36616012165594F274BAC5D170947F281ECDE3BFEEE0924EBA48DC9F36CE25E65513o2UBJ" TargetMode="External"/><Relationship Id="rId13" Type="http://schemas.openxmlformats.org/officeDocument/2006/relationships/hyperlink" Target="consultantplus://offline/ref=45696715CBED8CA405A377E85623FDF76E7FCCC458C81DAE0CF9948273C768BE79B7315DC52C2884f4qFG" TargetMode="External"/><Relationship Id="rId18" Type="http://schemas.openxmlformats.org/officeDocument/2006/relationships/hyperlink" Target="consultantplus://offline/ref=B58C7E266B2573F615B682818F40CC97737E1944176CF818C675B322151569A4CA4152D5695058E26C475F56EEB7369AC6478BC092TBD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2D44A17D807A6D0997D321DD692668028BEB36616012165594F274BAC5D170947F2819C8E3B5B1E5875FE247DE8128C83DFA57112Bo7U5J" TargetMode="External"/><Relationship Id="rId12" Type="http://schemas.openxmlformats.org/officeDocument/2006/relationships/hyperlink" Target="consultantplus://offline/ref=8A2D44A17D807A6D0997D321DD692668028BEB36616012165594F274BAC5D170947F281ECDEABFEEE0924EBA48DC9F36CE25E65513o2UBJ" TargetMode="External"/><Relationship Id="rId17" Type="http://schemas.openxmlformats.org/officeDocument/2006/relationships/hyperlink" Target="consultantplus://offline/ref=B58C7E266B2573F615B682818F40CC97737E174E1161F818C675B322151569A4CA4152D76B5953BD69524E0EE1B42984C05F97C290BBT4D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8C7E266B2573F615B682818F40CC97737E174E1161F818C675B322151569A4CA4152D26A5258E26C475F56EEB7369AC6478BC092TBD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96715CBED8CA405A377E85623FDF76E7FCDC952C11DAE0CF9948273fCq7G" TargetMode="External"/><Relationship Id="rId11" Type="http://schemas.openxmlformats.org/officeDocument/2006/relationships/hyperlink" Target="consultantplus://offline/ref=8A2D44A17D807A6D0997D321DD692668028BEB36616012165594F274BAC5D170947F281ECDEBBFEEE0924EBA48DC9F36CE25E65513o2UBJ" TargetMode="External"/><Relationship Id="rId5" Type="http://schemas.openxmlformats.org/officeDocument/2006/relationships/hyperlink" Target="consultantplus://offline/ref=45696715CBED8CA405A377E85623FDF76E7FCDC952C11DAE0CF9948273fCq7G" TargetMode="External"/><Relationship Id="rId15" Type="http://schemas.openxmlformats.org/officeDocument/2006/relationships/hyperlink" Target="consultantplus://offline/ref=B58C7E266B2573F615B682818F40CC97737E174E1161F818C675B322151569A4CA4152D26A5058E26C475F56EEB7369AC6478BC092TBDBG" TargetMode="External"/><Relationship Id="rId10" Type="http://schemas.openxmlformats.org/officeDocument/2006/relationships/hyperlink" Target="consultantplus://offline/ref=8A2D44A17D807A6D0997D321DD692668028BEB36616012165594F274BAC5D170947F281ECDE6BFEEE0924EBA48DC9F36CE25E65513o2UB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2D44A17D807A6D0997D321DD692668028BEB36616012165594F274BAC5D170947F281ECDE0BFEEE0924EBA48DC9F36CE25E65513o2UBJ" TargetMode="External"/><Relationship Id="rId14" Type="http://schemas.openxmlformats.org/officeDocument/2006/relationships/hyperlink" Target="consultantplus://offline/ref=B58C7E266B2573F615B682818F40CC97747A14431467F818C675B322151569A4D8410ADB6C504DB63B1D085BEETBD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14</cp:revision>
  <cp:lastPrinted>2022-06-23T08:42:00Z</cp:lastPrinted>
  <dcterms:created xsi:type="dcterms:W3CDTF">2018-07-17T09:12:00Z</dcterms:created>
  <dcterms:modified xsi:type="dcterms:W3CDTF">2022-07-13T07:53:00Z</dcterms:modified>
</cp:coreProperties>
</file>